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33" w:rsidRDefault="00A523F9">
      <w:pPr>
        <w:spacing w:line="500" w:lineRule="exact"/>
        <w:rPr>
          <w:rFonts w:ascii="楷体_GB2312" w:eastAsia="楷体_GB2312" w:hAnsi="Arial Unicode MS" w:cs="Arial Unicode MS"/>
          <w:b/>
          <w:sz w:val="28"/>
          <w:szCs w:val="28"/>
        </w:rPr>
      </w:pPr>
      <w:r>
        <w:rPr>
          <w:rFonts w:ascii="楷体_GB2312" w:eastAsia="楷体_GB2312" w:hAnsi="Arial Unicode MS" w:cs="Arial Unicode MS"/>
          <w:b/>
          <w:sz w:val="28"/>
          <w:szCs w:val="28"/>
        </w:rPr>
        <w:t>附表</w:t>
      </w:r>
      <w:r>
        <w:rPr>
          <w:rFonts w:ascii="楷体_GB2312" w:eastAsia="楷体_GB2312" w:hAnsi="Arial Unicode MS" w:cs="Arial Unicode MS" w:hint="eastAsia"/>
          <w:b/>
          <w:sz w:val="28"/>
          <w:szCs w:val="28"/>
        </w:rPr>
        <w:t>1：</w:t>
      </w:r>
    </w:p>
    <w:p w:rsidR="00202033" w:rsidRDefault="00A523F9">
      <w:pPr>
        <w:spacing w:line="500" w:lineRule="exact"/>
        <w:jc w:val="center"/>
        <w:rPr>
          <w:rFonts w:eastAsia="黑体"/>
          <w:sz w:val="28"/>
          <w:szCs w:val="28"/>
        </w:rPr>
      </w:pPr>
      <w:r>
        <w:rPr>
          <w:rFonts w:eastAsia="黑体"/>
          <w:sz w:val="28"/>
          <w:szCs w:val="28"/>
        </w:rPr>
        <w:t>西安</w:t>
      </w:r>
      <w:r>
        <w:rPr>
          <w:rFonts w:eastAsia="黑体"/>
          <w:sz w:val="28"/>
          <w:szCs w:val="28"/>
        </w:rPr>
        <w:t>-</w:t>
      </w:r>
      <w:r>
        <w:rPr>
          <w:rFonts w:eastAsia="黑体"/>
          <w:sz w:val="28"/>
          <w:szCs w:val="28"/>
        </w:rPr>
        <w:t>煤地质学</w:t>
      </w:r>
      <w:r>
        <w:rPr>
          <w:rFonts w:eastAsia="黑体"/>
          <w:sz w:val="28"/>
          <w:szCs w:val="28"/>
        </w:rPr>
        <w:t>·</w:t>
      </w:r>
      <w:r>
        <w:rPr>
          <w:rFonts w:eastAsia="黑体"/>
          <w:sz w:val="28"/>
          <w:szCs w:val="28"/>
        </w:rPr>
        <w:t>煤炭智能绿色开采地质保障国际学术交流会</w:t>
      </w:r>
      <w:r>
        <w:rPr>
          <w:rFonts w:eastAsia="黑体" w:hint="eastAsia"/>
          <w:sz w:val="28"/>
          <w:szCs w:val="28"/>
        </w:rPr>
        <w:t>报告安排</w:t>
      </w:r>
    </w:p>
    <w:p w:rsidR="00202033" w:rsidRDefault="00202033">
      <w:pPr>
        <w:spacing w:line="500" w:lineRule="exact"/>
        <w:jc w:val="center"/>
        <w:rPr>
          <w:rFonts w:eastAsia="黑体"/>
          <w:sz w:val="28"/>
          <w:szCs w:val="28"/>
        </w:rPr>
      </w:pPr>
    </w:p>
    <w:tbl>
      <w:tblPr>
        <w:tblStyle w:val="a9"/>
        <w:tblW w:w="9356" w:type="dxa"/>
        <w:tblInd w:w="-147" w:type="dxa"/>
        <w:tblLayout w:type="fixed"/>
        <w:tblLook w:val="04A0" w:firstRow="1" w:lastRow="0" w:firstColumn="1" w:lastColumn="0" w:noHBand="0" w:noVBand="1"/>
      </w:tblPr>
      <w:tblGrid>
        <w:gridCol w:w="568"/>
        <w:gridCol w:w="3685"/>
        <w:gridCol w:w="1843"/>
        <w:gridCol w:w="1134"/>
        <w:gridCol w:w="2126"/>
      </w:tblGrid>
      <w:tr w:rsidR="00202033">
        <w:trPr>
          <w:trHeight w:val="402"/>
        </w:trPr>
        <w:tc>
          <w:tcPr>
            <w:tcW w:w="9356" w:type="dxa"/>
            <w:gridSpan w:val="5"/>
            <w:vAlign w:val="center"/>
          </w:tcPr>
          <w:p w:rsidR="00202033" w:rsidRDefault="00A523F9">
            <w:pPr>
              <w:widowControl/>
              <w:adjustRightInd w:val="0"/>
              <w:snapToGrid w:val="0"/>
              <w:jc w:val="left"/>
              <w:rPr>
                <w:rFonts w:ascii="楷体_GB2312" w:eastAsia="楷体_GB2312"/>
                <w:sz w:val="28"/>
                <w:szCs w:val="28"/>
              </w:rPr>
            </w:pPr>
            <w:r>
              <w:rPr>
                <w:rFonts w:ascii="楷体_GB2312" w:eastAsia="楷体_GB2312"/>
                <w:sz w:val="28"/>
                <w:szCs w:val="28"/>
              </w:rPr>
              <w:t>第一天</w:t>
            </w:r>
          </w:p>
        </w:tc>
      </w:tr>
      <w:tr w:rsidR="00202033">
        <w:trPr>
          <w:trHeight w:val="580"/>
        </w:trPr>
        <w:tc>
          <w:tcPr>
            <w:tcW w:w="568" w:type="dxa"/>
            <w:vAlign w:val="center"/>
          </w:tcPr>
          <w:p w:rsidR="00202033" w:rsidRDefault="00A523F9">
            <w:pPr>
              <w:widowControl/>
              <w:adjustRightInd w:val="0"/>
              <w:snapToGrid w:val="0"/>
              <w:jc w:val="center"/>
              <w:rPr>
                <w:rFonts w:ascii="楷体_GB2312" w:eastAsia="楷体_GB2312"/>
                <w:sz w:val="28"/>
                <w:szCs w:val="28"/>
              </w:rPr>
            </w:pPr>
            <w:r>
              <w:rPr>
                <w:rFonts w:ascii="楷体_GB2312" w:eastAsia="楷体_GB2312" w:hint="eastAsia"/>
                <w:sz w:val="28"/>
                <w:szCs w:val="28"/>
              </w:rPr>
              <w:t>序号</w:t>
            </w:r>
          </w:p>
        </w:tc>
        <w:tc>
          <w:tcPr>
            <w:tcW w:w="3685" w:type="dxa"/>
            <w:vAlign w:val="center"/>
          </w:tcPr>
          <w:p w:rsidR="00202033" w:rsidRDefault="00A523F9">
            <w:pPr>
              <w:widowControl/>
              <w:adjustRightInd w:val="0"/>
              <w:snapToGrid w:val="0"/>
              <w:jc w:val="center"/>
              <w:rPr>
                <w:rFonts w:ascii="楷体_GB2312" w:eastAsia="楷体_GB2312"/>
                <w:sz w:val="28"/>
                <w:szCs w:val="28"/>
              </w:rPr>
            </w:pPr>
            <w:r>
              <w:rPr>
                <w:rFonts w:ascii="楷体_GB2312" w:eastAsia="楷体_GB2312" w:hint="eastAsia"/>
                <w:sz w:val="28"/>
                <w:szCs w:val="28"/>
              </w:rPr>
              <w:t>题目</w:t>
            </w:r>
          </w:p>
        </w:tc>
        <w:tc>
          <w:tcPr>
            <w:tcW w:w="1843" w:type="dxa"/>
            <w:vAlign w:val="center"/>
          </w:tcPr>
          <w:p w:rsidR="00202033" w:rsidRDefault="00A523F9">
            <w:pPr>
              <w:widowControl/>
              <w:adjustRightInd w:val="0"/>
              <w:snapToGrid w:val="0"/>
              <w:jc w:val="center"/>
              <w:rPr>
                <w:rFonts w:ascii="楷体_GB2312" w:eastAsia="楷体_GB2312"/>
                <w:sz w:val="28"/>
                <w:szCs w:val="28"/>
              </w:rPr>
            </w:pPr>
            <w:r>
              <w:rPr>
                <w:rFonts w:ascii="楷体_GB2312" w:eastAsia="楷体_GB2312" w:hint="eastAsia"/>
                <w:sz w:val="28"/>
                <w:szCs w:val="28"/>
              </w:rPr>
              <w:t>报告人</w:t>
            </w:r>
          </w:p>
        </w:tc>
        <w:tc>
          <w:tcPr>
            <w:tcW w:w="1134" w:type="dxa"/>
            <w:vAlign w:val="center"/>
          </w:tcPr>
          <w:p w:rsidR="00202033" w:rsidRDefault="00A523F9">
            <w:pPr>
              <w:widowControl/>
              <w:adjustRightInd w:val="0"/>
              <w:snapToGrid w:val="0"/>
              <w:jc w:val="center"/>
              <w:rPr>
                <w:rFonts w:ascii="楷体_GB2312" w:eastAsia="楷体_GB2312"/>
                <w:sz w:val="28"/>
                <w:szCs w:val="28"/>
              </w:rPr>
            </w:pPr>
            <w:r>
              <w:rPr>
                <w:rFonts w:ascii="楷体_GB2312" w:eastAsia="楷体_GB2312" w:hint="eastAsia"/>
                <w:sz w:val="28"/>
                <w:szCs w:val="28"/>
              </w:rPr>
              <w:t>职称</w:t>
            </w:r>
          </w:p>
        </w:tc>
        <w:tc>
          <w:tcPr>
            <w:tcW w:w="2126" w:type="dxa"/>
            <w:vAlign w:val="center"/>
          </w:tcPr>
          <w:p w:rsidR="00202033" w:rsidRDefault="00A523F9">
            <w:pPr>
              <w:widowControl/>
              <w:adjustRightInd w:val="0"/>
              <w:snapToGrid w:val="0"/>
              <w:jc w:val="center"/>
              <w:rPr>
                <w:rFonts w:ascii="楷体_GB2312" w:eastAsia="楷体_GB2312"/>
                <w:sz w:val="28"/>
                <w:szCs w:val="28"/>
              </w:rPr>
            </w:pPr>
            <w:r>
              <w:rPr>
                <w:rFonts w:ascii="楷体_GB2312" w:eastAsia="楷体_GB2312" w:hint="eastAsia"/>
                <w:sz w:val="28"/>
                <w:szCs w:val="28"/>
              </w:rPr>
              <w:t>单位</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黄河流域</w:t>
            </w:r>
            <w:proofErr w:type="gramStart"/>
            <w:r>
              <w:rPr>
                <w:rFonts w:eastAsia="楷体_GB2312"/>
                <w:sz w:val="28"/>
                <w:szCs w:val="28"/>
              </w:rPr>
              <w:t>几字湾煤矿</w:t>
            </w:r>
            <w:proofErr w:type="gramEnd"/>
            <w:r>
              <w:rPr>
                <w:rFonts w:eastAsia="楷体_GB2312"/>
                <w:sz w:val="28"/>
                <w:szCs w:val="28"/>
              </w:rPr>
              <w:t>区生态地质修复关键技术</w:t>
            </w:r>
          </w:p>
        </w:tc>
        <w:tc>
          <w:tcPr>
            <w:tcW w:w="1843" w:type="dxa"/>
            <w:shd w:val="clear" w:color="auto" w:fill="auto"/>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彭苏萍</w:t>
            </w:r>
          </w:p>
        </w:tc>
        <w:tc>
          <w:tcPr>
            <w:tcW w:w="1134" w:type="dxa"/>
            <w:shd w:val="clear" w:color="auto" w:fill="auto"/>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院士</w:t>
            </w:r>
          </w:p>
        </w:tc>
        <w:tc>
          <w:tcPr>
            <w:tcW w:w="2126" w:type="dxa"/>
            <w:shd w:val="clear" w:color="auto" w:fill="auto"/>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中国矿业大学（北京）</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2</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proofErr w:type="gramStart"/>
            <w:r>
              <w:rPr>
                <w:rFonts w:eastAsia="楷体_GB2312"/>
                <w:sz w:val="28"/>
                <w:szCs w:val="28"/>
              </w:rPr>
              <w:t>双碳背景</w:t>
            </w:r>
            <w:proofErr w:type="gramEnd"/>
            <w:r>
              <w:rPr>
                <w:rFonts w:eastAsia="楷体_GB2312"/>
                <w:sz w:val="28"/>
                <w:szCs w:val="28"/>
              </w:rPr>
              <w:t>下煤炭行业绿色发展战略思考</w:t>
            </w:r>
          </w:p>
        </w:tc>
        <w:tc>
          <w:tcPr>
            <w:tcW w:w="1843" w:type="dxa"/>
            <w:shd w:val="clear" w:color="auto" w:fill="auto"/>
            <w:vAlign w:val="center"/>
          </w:tcPr>
          <w:p w:rsidR="00202033" w:rsidRDefault="00A523F9">
            <w:pPr>
              <w:adjustRightInd w:val="0"/>
              <w:snapToGrid w:val="0"/>
              <w:jc w:val="center"/>
              <w:rPr>
                <w:rFonts w:eastAsia="楷体_GB2312"/>
                <w:sz w:val="28"/>
                <w:szCs w:val="28"/>
              </w:rPr>
            </w:pPr>
            <w:proofErr w:type="gramStart"/>
            <w:r>
              <w:rPr>
                <w:rFonts w:eastAsia="楷体_GB2312"/>
                <w:sz w:val="28"/>
                <w:szCs w:val="28"/>
              </w:rPr>
              <w:t>袁</w:t>
            </w:r>
            <w:proofErr w:type="gramEnd"/>
            <w:r>
              <w:rPr>
                <w:rFonts w:eastAsia="楷体_GB2312" w:hint="eastAsia"/>
                <w:sz w:val="28"/>
                <w:szCs w:val="28"/>
              </w:rPr>
              <w:t xml:space="preserve"> </w:t>
            </w:r>
            <w:r>
              <w:rPr>
                <w:rFonts w:eastAsia="楷体_GB2312"/>
                <w:sz w:val="28"/>
                <w:szCs w:val="28"/>
              </w:rPr>
              <w:t xml:space="preserve"> </w:t>
            </w:r>
            <w:r>
              <w:rPr>
                <w:rFonts w:eastAsia="楷体_GB2312"/>
                <w:sz w:val="28"/>
                <w:szCs w:val="28"/>
              </w:rPr>
              <w:t>亮</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院士</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安徽理工大学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3</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矿井水害防控与应急管理</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武</w:t>
            </w:r>
            <w:r>
              <w:rPr>
                <w:rFonts w:eastAsia="楷体_GB2312" w:hint="eastAsia"/>
                <w:sz w:val="28"/>
                <w:szCs w:val="28"/>
              </w:rPr>
              <w:t xml:space="preserve"> </w:t>
            </w:r>
            <w:r>
              <w:rPr>
                <w:rFonts w:eastAsia="楷体_GB2312"/>
                <w:sz w:val="28"/>
                <w:szCs w:val="28"/>
              </w:rPr>
              <w:t xml:space="preserve"> </w:t>
            </w:r>
            <w:r>
              <w:rPr>
                <w:rFonts w:eastAsia="楷体_GB2312"/>
                <w:sz w:val="28"/>
                <w:szCs w:val="28"/>
              </w:rPr>
              <w:t>强</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院士</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中国矿业大学（北京）</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4</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煤炭主体能源地位与低碳利用</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王双明</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院士</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西安科技大学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5</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矿井突水水源快速判识与水害防控关键技术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proofErr w:type="gramStart"/>
            <w:r>
              <w:rPr>
                <w:rFonts w:eastAsia="楷体_GB2312"/>
                <w:sz w:val="28"/>
                <w:szCs w:val="28"/>
              </w:rPr>
              <w:t>董书宁</w:t>
            </w:r>
            <w:proofErr w:type="gramEnd"/>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中煤科工集团西安研究院</w:t>
            </w:r>
          </w:p>
        </w:tc>
      </w:tr>
      <w:tr w:rsidR="00202033">
        <w:trPr>
          <w:trHeight w:val="1505"/>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6</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The rush to the Polar Regions and developing new drilling technologies to meet expanding demands</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 xml:space="preserve">Pavel </w:t>
            </w:r>
            <w:proofErr w:type="spellStart"/>
            <w:r>
              <w:rPr>
                <w:rFonts w:eastAsia="楷体_GB2312"/>
                <w:sz w:val="28"/>
                <w:szCs w:val="28"/>
              </w:rPr>
              <w:t>Talalay</w:t>
            </w:r>
            <w:proofErr w:type="spellEnd"/>
            <w:r>
              <w:rPr>
                <w:rFonts w:eastAsia="楷体_GB2312"/>
                <w:sz w:val="28"/>
                <w:szCs w:val="28"/>
              </w:rPr>
              <w:t>（俄）</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吉林大学</w:t>
            </w:r>
            <w:r>
              <w:rPr>
                <w:rFonts w:eastAsia="楷体_GB2312"/>
                <w:sz w:val="28"/>
                <w:szCs w:val="28"/>
              </w:rPr>
              <w:t xml:space="preserve"> </w:t>
            </w:r>
          </w:p>
        </w:tc>
      </w:tr>
      <w:tr w:rsidR="00202033">
        <w:trPr>
          <w:trHeight w:val="1107"/>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7</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Application of fiber optic gyroscope while drilling in petroleum logging</w:t>
            </w:r>
          </w:p>
        </w:tc>
        <w:tc>
          <w:tcPr>
            <w:tcW w:w="1843" w:type="dxa"/>
            <w:shd w:val="clear" w:color="auto" w:fill="auto"/>
            <w:vAlign w:val="center"/>
          </w:tcPr>
          <w:p w:rsidR="00202033" w:rsidRDefault="00A523F9">
            <w:pPr>
              <w:adjustRightInd w:val="0"/>
              <w:snapToGrid w:val="0"/>
              <w:jc w:val="center"/>
              <w:rPr>
                <w:rFonts w:eastAsia="楷体_GB2312"/>
                <w:sz w:val="28"/>
                <w:szCs w:val="28"/>
              </w:rPr>
            </w:pPr>
            <w:proofErr w:type="spellStart"/>
            <w:r>
              <w:rPr>
                <w:rFonts w:eastAsia="楷体_GB2312"/>
                <w:sz w:val="28"/>
                <w:szCs w:val="28"/>
              </w:rPr>
              <w:t>Cherif</w:t>
            </w:r>
            <w:proofErr w:type="spellEnd"/>
            <w:r>
              <w:rPr>
                <w:rFonts w:eastAsia="楷体_GB2312"/>
                <w:sz w:val="28"/>
                <w:szCs w:val="28"/>
              </w:rPr>
              <w:t xml:space="preserve"> </w:t>
            </w:r>
            <w:proofErr w:type="spellStart"/>
            <w:r>
              <w:rPr>
                <w:rFonts w:eastAsia="楷体_GB2312"/>
                <w:sz w:val="28"/>
                <w:szCs w:val="28"/>
              </w:rPr>
              <w:t>Nafie</w:t>
            </w:r>
            <w:proofErr w:type="spellEnd"/>
            <w:r>
              <w:rPr>
                <w:rFonts w:eastAsia="楷体_GB2312"/>
                <w:sz w:val="28"/>
                <w:szCs w:val="28"/>
              </w:rPr>
              <w:t>（美）</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color w:val="000000" w:themeColor="text1"/>
                <w:sz w:val="28"/>
                <w:szCs w:val="28"/>
                <w:highlight w:val="yellow"/>
              </w:rPr>
            </w:pPr>
            <w:r>
              <w:rPr>
                <w:rFonts w:eastAsia="楷体_GB2312"/>
                <w:color w:val="000000" w:themeColor="text1"/>
                <w:sz w:val="28"/>
                <w:szCs w:val="28"/>
              </w:rPr>
              <w:t xml:space="preserve">The Seven Drilling </w:t>
            </w:r>
            <w:proofErr w:type="spellStart"/>
            <w:r>
              <w:rPr>
                <w:rFonts w:eastAsia="楷体_GB2312"/>
                <w:color w:val="000000" w:themeColor="text1"/>
                <w:sz w:val="28"/>
                <w:szCs w:val="28"/>
              </w:rPr>
              <w:t>Technology,Ltd</w:t>
            </w:r>
            <w:proofErr w:type="spellEnd"/>
            <w:r>
              <w:rPr>
                <w:rFonts w:eastAsia="楷体_GB2312"/>
                <w:color w:val="000000" w:themeColor="text1"/>
                <w:sz w:val="28"/>
                <w:szCs w:val="28"/>
              </w:rPr>
              <w:t xml:space="preserve"> Co.</w:t>
            </w:r>
          </w:p>
        </w:tc>
      </w:tr>
      <w:tr w:rsidR="00202033">
        <w:trPr>
          <w:trHeight w:val="786"/>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8</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俄罗斯地质钻探工艺技术进展</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CHIKHOTKIN V.F.</w:t>
            </w:r>
            <w:r>
              <w:rPr>
                <w:rFonts w:eastAsia="楷体_GB2312"/>
                <w:sz w:val="28"/>
                <w:szCs w:val="28"/>
              </w:rPr>
              <w:t>（俄）</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color w:val="000000" w:themeColor="text1"/>
                <w:sz w:val="28"/>
                <w:szCs w:val="28"/>
                <w:highlight w:val="yellow"/>
              </w:rPr>
            </w:pPr>
            <w:r>
              <w:rPr>
                <w:rFonts w:eastAsia="楷体_GB2312" w:hint="eastAsia"/>
                <w:color w:val="000000" w:themeColor="text1"/>
                <w:sz w:val="28"/>
                <w:szCs w:val="28"/>
              </w:rPr>
              <w:t>俄罗斯国立地质勘探大学</w:t>
            </w:r>
          </w:p>
        </w:tc>
      </w:tr>
      <w:tr w:rsidR="00202033">
        <w:trPr>
          <w:trHeight w:val="1505"/>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9</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Monitoring karst aquifers for the protection of Tuscumbia Darter habitats in north Alabama, USA</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 xml:space="preserve">Gheorghe M. L. Ponta </w:t>
            </w:r>
            <w:r>
              <w:rPr>
                <w:rFonts w:eastAsia="楷体_GB2312"/>
                <w:sz w:val="28"/>
                <w:szCs w:val="28"/>
              </w:rPr>
              <w:t>（美）</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Geological Survey of Alabama, USA</w:t>
            </w:r>
          </w:p>
        </w:tc>
      </w:tr>
      <w:tr w:rsidR="00202033">
        <w:trPr>
          <w:trHeight w:val="1414"/>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10</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Dolomite karst risk management for coal mines: an case study from South Africa</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 xml:space="preserve">J. Louis van </w:t>
            </w:r>
            <w:proofErr w:type="spellStart"/>
            <w:r>
              <w:rPr>
                <w:rFonts w:eastAsia="楷体_GB2312"/>
                <w:sz w:val="28"/>
                <w:szCs w:val="28"/>
              </w:rPr>
              <w:t>Rooy</w:t>
            </w:r>
            <w:proofErr w:type="spellEnd"/>
          </w:p>
          <w:p w:rsidR="00202033" w:rsidRDefault="00A523F9">
            <w:pPr>
              <w:adjustRightInd w:val="0"/>
              <w:snapToGrid w:val="0"/>
              <w:jc w:val="center"/>
              <w:rPr>
                <w:rFonts w:eastAsia="楷体_GB2312"/>
                <w:sz w:val="28"/>
                <w:szCs w:val="28"/>
              </w:rPr>
            </w:pPr>
            <w:r>
              <w:rPr>
                <w:rFonts w:eastAsia="楷体_GB2312"/>
                <w:sz w:val="28"/>
                <w:szCs w:val="28"/>
              </w:rPr>
              <w:t>（南非）</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 xml:space="preserve">University of Pretoria, South Africa </w:t>
            </w:r>
          </w:p>
        </w:tc>
      </w:tr>
      <w:tr w:rsidR="00202033">
        <w:trPr>
          <w:trHeight w:val="794"/>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11</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煤岩识别技术研究</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李</w:t>
            </w:r>
            <w:proofErr w:type="gramStart"/>
            <w:r>
              <w:rPr>
                <w:rFonts w:eastAsia="楷体_GB2312"/>
                <w:sz w:val="28"/>
                <w:szCs w:val="28"/>
              </w:rPr>
              <w:t>世</w:t>
            </w:r>
            <w:proofErr w:type="gramEnd"/>
            <w:r>
              <w:rPr>
                <w:rFonts w:eastAsia="楷体_GB2312"/>
                <w:sz w:val="28"/>
                <w:szCs w:val="28"/>
              </w:rPr>
              <w:t>东（美）</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202033">
            <w:pPr>
              <w:adjustRightInd w:val="0"/>
              <w:snapToGrid w:val="0"/>
              <w:jc w:val="center"/>
              <w:rPr>
                <w:rFonts w:eastAsia="楷体_GB2312"/>
                <w:sz w:val="28"/>
                <w:szCs w:val="28"/>
              </w:rPr>
            </w:pPr>
          </w:p>
        </w:tc>
      </w:tr>
      <w:tr w:rsidR="00202033">
        <w:trPr>
          <w:trHeight w:val="689"/>
        </w:trPr>
        <w:tc>
          <w:tcPr>
            <w:tcW w:w="568" w:type="dxa"/>
            <w:vAlign w:val="center"/>
          </w:tcPr>
          <w:p w:rsidR="00202033" w:rsidRDefault="00A523F9">
            <w:pPr>
              <w:widowControl/>
              <w:adjustRightInd w:val="0"/>
              <w:snapToGrid w:val="0"/>
              <w:jc w:val="center"/>
              <w:rPr>
                <w:rFonts w:eastAsia="楷体_GB2312"/>
                <w:sz w:val="28"/>
                <w:szCs w:val="28"/>
              </w:rPr>
            </w:pPr>
            <w:r>
              <w:rPr>
                <w:rFonts w:ascii="楷体_GB2312" w:eastAsia="楷体_GB2312" w:hint="eastAsia"/>
                <w:sz w:val="28"/>
                <w:szCs w:val="28"/>
              </w:rPr>
              <w:lastRenderedPageBreak/>
              <w:t>序号</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ascii="楷体_GB2312" w:eastAsia="楷体_GB2312" w:hint="eastAsia"/>
                <w:sz w:val="28"/>
                <w:szCs w:val="28"/>
              </w:rPr>
              <w:t>题目</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报告人</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职称</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单位</w:t>
            </w:r>
          </w:p>
        </w:tc>
      </w:tr>
      <w:tr w:rsidR="00202033">
        <w:trPr>
          <w:trHeight w:val="657"/>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12</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煤层（系）气大产业建设战略选择与框架性思考</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秦</w:t>
            </w:r>
            <w:r>
              <w:rPr>
                <w:rFonts w:eastAsia="楷体_GB2312" w:hint="eastAsia"/>
                <w:sz w:val="28"/>
                <w:szCs w:val="28"/>
              </w:rPr>
              <w:t xml:space="preserve"> </w:t>
            </w:r>
            <w:r>
              <w:rPr>
                <w:rFonts w:eastAsia="楷体_GB2312"/>
                <w:sz w:val="28"/>
                <w:szCs w:val="28"/>
              </w:rPr>
              <w:t xml:space="preserve"> </w:t>
            </w:r>
            <w:r>
              <w:rPr>
                <w:rFonts w:eastAsia="楷体_GB2312"/>
                <w:sz w:val="28"/>
                <w:szCs w:val="28"/>
              </w:rPr>
              <w:t>勇</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中国矿业大学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13</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煤显微组分大分子结构演化差异性及其动力学机制</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曹代勇</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中国矿业大学（北京）</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14</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矿井水深层回灌减</w:t>
            </w:r>
            <w:proofErr w:type="gramStart"/>
            <w:r>
              <w:rPr>
                <w:rFonts w:eastAsia="楷体_GB2312"/>
                <w:sz w:val="28"/>
                <w:szCs w:val="28"/>
              </w:rPr>
              <w:t>排关键</w:t>
            </w:r>
            <w:proofErr w:type="gramEnd"/>
            <w:r>
              <w:rPr>
                <w:rFonts w:eastAsia="楷体_GB2312"/>
                <w:sz w:val="28"/>
                <w:szCs w:val="28"/>
              </w:rPr>
              <w:t>技术与问题</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孙亚军</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中国矿业大学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15</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基于地面定向水平井的煤矿灾害综合治理技术</w:t>
            </w:r>
            <w:r>
              <w:rPr>
                <w:rFonts w:eastAsia="楷体_GB2312"/>
                <w:sz w:val="28"/>
                <w:szCs w:val="28"/>
              </w:rPr>
              <w:t xml:space="preserve"> </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郑士田</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中煤科工集团西安研究院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16</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煤矿智能开采随采随探技术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程建远</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中煤科工集团西安研究院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17</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内蒙古东部草原强富水含水层下煤炭安全开采与水资源保护关键技术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刘生优</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国家能源投资集团有限责任公司</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18</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煤层顶板水害预测及防治技术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侯恩科</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西安科技大学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19</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地质保障技术在陕煤集团的创新与发展</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王苏健</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777098">
            <w:pPr>
              <w:widowControl/>
              <w:adjustRightInd w:val="0"/>
              <w:snapToGrid w:val="0"/>
              <w:jc w:val="center"/>
              <w:rPr>
                <w:rFonts w:ascii="Arial" w:hAnsi="Arial" w:cs="Arial"/>
                <w:color w:val="333333"/>
                <w:sz w:val="27"/>
                <w:szCs w:val="27"/>
              </w:rPr>
            </w:pPr>
            <w:hyperlink r:id="rId6" w:tgtFrame="_blank" w:history="1">
              <w:r w:rsidR="00A523F9">
                <w:rPr>
                  <w:rFonts w:eastAsia="楷体_GB2312"/>
                  <w:sz w:val="28"/>
                  <w:szCs w:val="28"/>
                </w:rPr>
                <w:t>陕西煤业化工技术研究院</w:t>
              </w:r>
            </w:hyperlink>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20</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中深层地热能开发关键技术与典型案例</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张卫东</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中煤科工集团西安研究院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21</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争创一流学术期刊</w:t>
            </w:r>
            <w:r>
              <w:rPr>
                <w:rFonts w:eastAsia="楷体_GB2312" w:hint="eastAsia"/>
                <w:sz w:val="28"/>
                <w:szCs w:val="28"/>
              </w:rPr>
              <w:t xml:space="preserve">  </w:t>
            </w:r>
            <w:r>
              <w:rPr>
                <w:rFonts w:eastAsia="楷体_GB2312" w:hint="eastAsia"/>
                <w:sz w:val="28"/>
                <w:szCs w:val="28"/>
              </w:rPr>
              <w:t>服务煤炭地质保障创新发展</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晋香兰</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《煤田地质与勘探》编辑部</w:t>
            </w:r>
          </w:p>
        </w:tc>
      </w:tr>
      <w:tr w:rsidR="00202033">
        <w:trPr>
          <w:trHeight w:val="321"/>
        </w:trPr>
        <w:tc>
          <w:tcPr>
            <w:tcW w:w="9356" w:type="dxa"/>
            <w:gridSpan w:val="5"/>
            <w:vAlign w:val="center"/>
          </w:tcPr>
          <w:p w:rsidR="00202033" w:rsidRDefault="00A523F9">
            <w:pPr>
              <w:adjustRightInd w:val="0"/>
              <w:snapToGrid w:val="0"/>
              <w:jc w:val="left"/>
              <w:rPr>
                <w:rFonts w:eastAsia="楷体_GB2312"/>
                <w:sz w:val="28"/>
                <w:szCs w:val="28"/>
              </w:rPr>
            </w:pPr>
            <w:r>
              <w:rPr>
                <w:rFonts w:eastAsia="楷体_GB2312"/>
                <w:sz w:val="28"/>
                <w:szCs w:val="28"/>
              </w:rPr>
              <w:t>第二天</w:t>
            </w:r>
          </w:p>
        </w:tc>
      </w:tr>
      <w:tr w:rsidR="00202033">
        <w:trPr>
          <w:trHeight w:val="321"/>
        </w:trPr>
        <w:tc>
          <w:tcPr>
            <w:tcW w:w="9356" w:type="dxa"/>
            <w:gridSpan w:val="5"/>
            <w:vAlign w:val="center"/>
          </w:tcPr>
          <w:p w:rsidR="00202033" w:rsidRDefault="00A523F9">
            <w:pPr>
              <w:adjustRightInd w:val="0"/>
              <w:snapToGrid w:val="0"/>
              <w:jc w:val="left"/>
              <w:rPr>
                <w:rFonts w:eastAsia="楷体_GB2312"/>
                <w:sz w:val="28"/>
                <w:szCs w:val="28"/>
              </w:rPr>
            </w:pPr>
            <w:r>
              <w:rPr>
                <w:rFonts w:eastAsia="楷体_GB2312"/>
                <w:sz w:val="28"/>
                <w:szCs w:val="28"/>
              </w:rPr>
              <w:t>第一分会场</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Deep Injection to Dispose Coal Processing Wastes</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 xml:space="preserve">Maurice </w:t>
            </w:r>
            <w:proofErr w:type="spellStart"/>
            <w:r>
              <w:rPr>
                <w:rFonts w:eastAsia="楷体_GB2312"/>
                <w:sz w:val="28"/>
                <w:szCs w:val="28"/>
              </w:rPr>
              <w:t>Dusseault</w:t>
            </w:r>
            <w:proofErr w:type="spellEnd"/>
            <w:r>
              <w:rPr>
                <w:rFonts w:eastAsia="楷体_GB2312"/>
                <w:sz w:val="28"/>
                <w:szCs w:val="28"/>
              </w:rPr>
              <w:t>（加）</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University of Waterloo</w:t>
            </w:r>
            <w:r>
              <w:rPr>
                <w:rFonts w:eastAsia="楷体_GB2312"/>
                <w:sz w:val="28"/>
                <w:szCs w:val="28"/>
              </w:rPr>
              <w:t>，</w:t>
            </w:r>
            <w:r>
              <w:rPr>
                <w:rFonts w:eastAsia="楷体_GB2312"/>
                <w:sz w:val="28"/>
                <w:szCs w:val="28"/>
              </w:rPr>
              <w:t>Canada</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2</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Degasification of coal beds prior to mining in USA</w:t>
            </w:r>
          </w:p>
        </w:tc>
        <w:tc>
          <w:tcPr>
            <w:tcW w:w="1843" w:type="dxa"/>
            <w:shd w:val="clear" w:color="auto" w:fill="auto"/>
            <w:vAlign w:val="center"/>
          </w:tcPr>
          <w:p w:rsidR="00202033" w:rsidRDefault="00A523F9">
            <w:pPr>
              <w:adjustRightInd w:val="0"/>
              <w:snapToGrid w:val="0"/>
              <w:jc w:val="center"/>
              <w:rPr>
                <w:rFonts w:eastAsia="楷体_GB2312"/>
                <w:sz w:val="28"/>
                <w:szCs w:val="28"/>
              </w:rPr>
            </w:pPr>
            <w:proofErr w:type="spellStart"/>
            <w:r>
              <w:rPr>
                <w:rFonts w:eastAsia="楷体_GB2312"/>
                <w:sz w:val="28"/>
                <w:szCs w:val="28"/>
              </w:rPr>
              <w:t>Abner</w:t>
            </w:r>
            <w:proofErr w:type="spellEnd"/>
            <w:r>
              <w:rPr>
                <w:rFonts w:eastAsia="楷体_GB2312"/>
                <w:sz w:val="28"/>
                <w:szCs w:val="28"/>
              </w:rPr>
              <w:t xml:space="preserve"> F. Patton </w:t>
            </w:r>
            <w:r>
              <w:rPr>
                <w:rFonts w:eastAsia="楷体_GB2312"/>
                <w:sz w:val="28"/>
                <w:szCs w:val="28"/>
              </w:rPr>
              <w:t>（美）</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 xml:space="preserve">President of PELA </w:t>
            </w:r>
            <w:proofErr w:type="spellStart"/>
            <w:r>
              <w:rPr>
                <w:rFonts w:eastAsia="楷体_GB2312"/>
                <w:sz w:val="28"/>
                <w:szCs w:val="28"/>
              </w:rPr>
              <w:t>GeoEnvironmental</w:t>
            </w:r>
            <w:proofErr w:type="spellEnd"/>
            <w:r>
              <w:rPr>
                <w:rFonts w:eastAsia="楷体_GB2312"/>
                <w:sz w:val="28"/>
                <w:szCs w:val="28"/>
              </w:rPr>
              <w:t>, Inc., USA</w:t>
            </w:r>
          </w:p>
        </w:tc>
      </w:tr>
      <w:tr w:rsidR="00202033">
        <w:trPr>
          <w:trHeight w:val="1345"/>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3</w:t>
            </w:r>
          </w:p>
        </w:tc>
        <w:tc>
          <w:tcPr>
            <w:tcW w:w="3685" w:type="dxa"/>
            <w:shd w:val="clear" w:color="auto" w:fill="auto"/>
            <w:vAlign w:val="center"/>
          </w:tcPr>
          <w:p w:rsidR="00202033" w:rsidRDefault="00A523F9">
            <w:pPr>
              <w:spacing w:line="320" w:lineRule="exact"/>
              <w:jc w:val="left"/>
              <w:rPr>
                <w:rFonts w:eastAsia="楷体_GB2312"/>
                <w:sz w:val="28"/>
                <w:szCs w:val="28"/>
              </w:rPr>
            </w:pPr>
            <w:r>
              <w:rPr>
                <w:rFonts w:eastAsia="楷体_GB2312"/>
                <w:sz w:val="28"/>
                <w:szCs w:val="28"/>
              </w:rPr>
              <w:t>Fluoride risk assessment and enrichment mechanism of groundwater in hard-rock aquifer, South Africa</w:t>
            </w:r>
          </w:p>
        </w:tc>
        <w:tc>
          <w:tcPr>
            <w:tcW w:w="1843" w:type="dxa"/>
            <w:shd w:val="clear" w:color="auto" w:fill="auto"/>
            <w:vAlign w:val="center"/>
          </w:tcPr>
          <w:p w:rsidR="00202033" w:rsidRDefault="00A523F9">
            <w:pPr>
              <w:adjustRightInd w:val="0"/>
              <w:snapToGrid w:val="0"/>
              <w:jc w:val="center"/>
              <w:rPr>
                <w:rFonts w:eastAsia="楷体_GB2312"/>
                <w:sz w:val="28"/>
                <w:szCs w:val="28"/>
              </w:rPr>
            </w:pPr>
            <w:proofErr w:type="spellStart"/>
            <w:r>
              <w:rPr>
                <w:rFonts w:eastAsia="楷体_GB2312"/>
                <w:sz w:val="28"/>
                <w:szCs w:val="28"/>
              </w:rPr>
              <w:t>Vetrimurugan</w:t>
            </w:r>
            <w:proofErr w:type="spellEnd"/>
            <w:r>
              <w:rPr>
                <w:rFonts w:eastAsia="楷体_GB2312"/>
                <w:sz w:val="28"/>
                <w:szCs w:val="28"/>
              </w:rPr>
              <w:t xml:space="preserve"> </w:t>
            </w:r>
            <w:proofErr w:type="spellStart"/>
            <w:r>
              <w:rPr>
                <w:rFonts w:eastAsia="楷体_GB2312"/>
                <w:sz w:val="28"/>
                <w:szCs w:val="28"/>
              </w:rPr>
              <w:t>Elumalai</w:t>
            </w:r>
            <w:proofErr w:type="spellEnd"/>
          </w:p>
          <w:p w:rsidR="00202033" w:rsidRDefault="00A523F9">
            <w:pPr>
              <w:adjustRightInd w:val="0"/>
              <w:snapToGrid w:val="0"/>
              <w:jc w:val="center"/>
              <w:rPr>
                <w:rFonts w:eastAsia="楷体_GB2312"/>
                <w:sz w:val="28"/>
                <w:szCs w:val="28"/>
              </w:rPr>
            </w:pPr>
            <w:r>
              <w:rPr>
                <w:rFonts w:eastAsia="楷体_GB2312"/>
                <w:sz w:val="28"/>
                <w:szCs w:val="28"/>
              </w:rPr>
              <w:t>（南非）</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spacing w:line="320" w:lineRule="exact"/>
              <w:jc w:val="center"/>
              <w:rPr>
                <w:rFonts w:eastAsia="楷体_GB2312"/>
                <w:sz w:val="28"/>
                <w:szCs w:val="28"/>
              </w:rPr>
            </w:pPr>
            <w:r>
              <w:rPr>
                <w:rFonts w:eastAsia="楷体_GB2312"/>
                <w:sz w:val="28"/>
                <w:szCs w:val="28"/>
              </w:rPr>
              <w:t>University of Zululand, South Africa</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4</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全浓度煤系天然气综合利用技术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薛</w:t>
            </w:r>
            <w:r>
              <w:rPr>
                <w:rFonts w:eastAsia="楷体_GB2312" w:hint="eastAsia"/>
                <w:sz w:val="28"/>
                <w:szCs w:val="28"/>
              </w:rPr>
              <w:t xml:space="preserve"> </w:t>
            </w:r>
            <w:r>
              <w:rPr>
                <w:rFonts w:eastAsia="楷体_GB2312"/>
                <w:sz w:val="28"/>
                <w:szCs w:val="28"/>
              </w:rPr>
              <w:t xml:space="preserve"> </w:t>
            </w:r>
            <w:r>
              <w:rPr>
                <w:rFonts w:eastAsia="楷体_GB2312"/>
                <w:sz w:val="28"/>
                <w:szCs w:val="28"/>
              </w:rPr>
              <w:t>生（澳）</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安徽理工大学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ascii="楷体_GB2312" w:eastAsia="楷体_GB2312" w:hint="eastAsia"/>
                <w:sz w:val="28"/>
                <w:szCs w:val="28"/>
              </w:rPr>
              <w:lastRenderedPageBreak/>
              <w:t>序号</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ascii="楷体_GB2312" w:eastAsia="楷体_GB2312" w:hint="eastAsia"/>
                <w:sz w:val="28"/>
                <w:szCs w:val="28"/>
              </w:rPr>
              <w:t>题目</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报告人</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职称</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单位</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5</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日本废弃矿山生态修复政策及措施</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李秉芮</w:t>
            </w:r>
          </w:p>
          <w:p w:rsidR="00202033" w:rsidRDefault="00A523F9">
            <w:pPr>
              <w:adjustRightInd w:val="0"/>
              <w:snapToGrid w:val="0"/>
              <w:jc w:val="center"/>
              <w:rPr>
                <w:rFonts w:eastAsia="楷体_GB2312"/>
                <w:sz w:val="28"/>
                <w:szCs w:val="28"/>
              </w:rPr>
            </w:pPr>
            <w:r>
              <w:rPr>
                <w:rFonts w:eastAsia="楷体_GB2312"/>
                <w:sz w:val="28"/>
                <w:szCs w:val="28"/>
              </w:rPr>
              <w:t xml:space="preserve">（日）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202033">
            <w:pPr>
              <w:adjustRightInd w:val="0"/>
              <w:snapToGrid w:val="0"/>
              <w:jc w:val="center"/>
              <w:rPr>
                <w:rFonts w:eastAsia="楷体_GB2312"/>
                <w:sz w:val="28"/>
                <w:szCs w:val="28"/>
              </w:rPr>
            </w:pP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6</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孟加拉国和土耳其水文地质特征及水害防治技术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王世东</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中煤科工集团西安研究院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7</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矿山生态演变及修复技术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毕银丽</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西安科技大学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8</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蒙陕深部矿井控水开采工程实践</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王厚柱</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中国中煤能源集团有限公司</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9</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彬长矿区巨厚洛河砂岩精细探查与主动防控关键技术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张联队</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陕西陕煤彬长矿业有限公司</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0</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延安组煤层顶板砂岩含水层保水开采问题</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范立民</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陕西省地质环境监测总站</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1</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新疆煤火及其环境影响</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曾</w:t>
            </w:r>
            <w:r>
              <w:rPr>
                <w:rFonts w:eastAsia="楷体_GB2312" w:hint="eastAsia"/>
                <w:sz w:val="28"/>
                <w:szCs w:val="28"/>
              </w:rPr>
              <w:t xml:space="preserve"> </w:t>
            </w:r>
            <w:r>
              <w:rPr>
                <w:rFonts w:eastAsia="楷体_GB2312"/>
                <w:sz w:val="28"/>
                <w:szCs w:val="28"/>
              </w:rPr>
              <w:t xml:space="preserve"> </w:t>
            </w:r>
            <w:r>
              <w:rPr>
                <w:rFonts w:eastAsia="楷体_GB2312"/>
                <w:sz w:val="28"/>
                <w:szCs w:val="28"/>
              </w:rPr>
              <w:t>强</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新疆大学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2</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贵州煤矿生态修复和环境保护的思考</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李希建</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贵州大学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3</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w:t>
            </w:r>
            <w:r>
              <w:rPr>
                <w:rFonts w:eastAsia="楷体_GB2312"/>
                <w:sz w:val="28"/>
                <w:szCs w:val="28"/>
              </w:rPr>
              <w:t>八位一体</w:t>
            </w:r>
            <w:r>
              <w:rPr>
                <w:rFonts w:eastAsia="楷体_GB2312"/>
                <w:sz w:val="28"/>
                <w:szCs w:val="28"/>
              </w:rPr>
              <w:t>”</w:t>
            </w:r>
            <w:r>
              <w:rPr>
                <w:rFonts w:eastAsia="楷体_GB2312"/>
                <w:sz w:val="28"/>
                <w:szCs w:val="28"/>
              </w:rPr>
              <w:t>闭环式煤矿顶板水害管控模式的构建与应用</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丁</w:t>
            </w:r>
            <w:r>
              <w:rPr>
                <w:rFonts w:eastAsia="楷体_GB2312" w:hint="eastAsia"/>
                <w:sz w:val="28"/>
                <w:szCs w:val="28"/>
              </w:rPr>
              <w:t xml:space="preserve"> </w:t>
            </w:r>
            <w:r>
              <w:rPr>
                <w:rFonts w:eastAsia="楷体_GB2312"/>
                <w:sz w:val="28"/>
                <w:szCs w:val="28"/>
              </w:rPr>
              <w:t xml:space="preserve"> </w:t>
            </w:r>
            <w:r>
              <w:rPr>
                <w:rFonts w:eastAsia="楷体_GB2312"/>
                <w:sz w:val="28"/>
                <w:szCs w:val="28"/>
              </w:rPr>
              <w:t>湘</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中煤能源研究院有限公司</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4</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分岔煤层下分层再生顶板地面预注浆加固区段及方案研究</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翟晓荣</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副教授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安徽理工大学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5</w:t>
            </w:r>
          </w:p>
        </w:tc>
        <w:tc>
          <w:tcPr>
            <w:tcW w:w="3685" w:type="dxa"/>
            <w:shd w:val="clear" w:color="auto" w:fill="auto"/>
            <w:vAlign w:val="center"/>
          </w:tcPr>
          <w:p w:rsidR="00202033" w:rsidRDefault="00A523F9">
            <w:pPr>
              <w:spacing w:line="400" w:lineRule="exact"/>
              <w:rPr>
                <w:rFonts w:eastAsia="楷体_GB2312"/>
                <w:sz w:val="28"/>
                <w:szCs w:val="28"/>
              </w:rPr>
            </w:pPr>
            <w:r>
              <w:rPr>
                <w:rFonts w:eastAsia="楷体_GB2312" w:hint="eastAsia"/>
                <w:sz w:val="28"/>
                <w:szCs w:val="28"/>
              </w:rPr>
              <w:t>积水采空区煤柱渗流失稳机理研究</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罗</w:t>
            </w:r>
            <w:r>
              <w:rPr>
                <w:rFonts w:eastAsia="楷体_GB2312" w:hint="eastAsia"/>
                <w:sz w:val="28"/>
                <w:szCs w:val="28"/>
              </w:rPr>
              <w:t xml:space="preserve"> </w:t>
            </w:r>
            <w:r>
              <w:rPr>
                <w:rFonts w:eastAsia="楷体_GB2312"/>
                <w:sz w:val="28"/>
                <w:szCs w:val="28"/>
              </w:rPr>
              <w:t xml:space="preserve"> </w:t>
            </w:r>
            <w:r>
              <w:rPr>
                <w:rFonts w:eastAsia="楷体_GB2312"/>
                <w:sz w:val="28"/>
                <w:szCs w:val="28"/>
              </w:rPr>
              <w:t>斌</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讲师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山西能源学院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6</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巨厚松散层下采煤沉陷空间特征监测技术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许时昂</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博士生</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安徽理工大学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7</w:t>
            </w:r>
          </w:p>
        </w:tc>
        <w:tc>
          <w:tcPr>
            <w:tcW w:w="3685" w:type="dxa"/>
            <w:shd w:val="clear" w:color="auto" w:fill="auto"/>
            <w:vAlign w:val="center"/>
          </w:tcPr>
          <w:p w:rsidR="00202033" w:rsidRDefault="00A523F9">
            <w:pPr>
              <w:snapToGrid w:val="0"/>
              <w:rPr>
                <w:rFonts w:eastAsia="楷体_GB2312"/>
                <w:sz w:val="28"/>
                <w:szCs w:val="28"/>
              </w:rPr>
            </w:pPr>
            <w:r>
              <w:rPr>
                <w:rFonts w:eastAsia="楷体_GB2312" w:hint="eastAsia"/>
                <w:sz w:val="28"/>
                <w:szCs w:val="28"/>
              </w:rPr>
              <w:t>侏罗纪煤层覆岩离层突水机理研究</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吴禄源</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讲师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河南大学</w:t>
            </w:r>
          </w:p>
        </w:tc>
      </w:tr>
      <w:tr w:rsidR="00202033">
        <w:trPr>
          <w:trHeight w:val="367"/>
        </w:trPr>
        <w:tc>
          <w:tcPr>
            <w:tcW w:w="9356" w:type="dxa"/>
            <w:gridSpan w:val="5"/>
            <w:vAlign w:val="center"/>
          </w:tcPr>
          <w:p w:rsidR="00202033" w:rsidRDefault="00A523F9">
            <w:pPr>
              <w:adjustRightInd w:val="0"/>
              <w:snapToGrid w:val="0"/>
              <w:rPr>
                <w:rFonts w:ascii="楷体_GB2312" w:eastAsia="楷体_GB2312"/>
                <w:sz w:val="28"/>
                <w:szCs w:val="28"/>
              </w:rPr>
            </w:pPr>
            <w:r>
              <w:rPr>
                <w:rFonts w:ascii="楷体_GB2312" w:eastAsia="楷体_GB2312"/>
                <w:sz w:val="28"/>
                <w:szCs w:val="28"/>
              </w:rPr>
              <w:t>第二分会场</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sz w:val="28"/>
                <w:szCs w:val="28"/>
              </w:rPr>
              <w:t>1</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淮河能源西部煤电集团透明地质建设新进展</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疏义国</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淮河能源西部公司</w:t>
            </w:r>
            <w:r>
              <w:rPr>
                <w:rFonts w:eastAsia="楷体_GB2312"/>
                <w:sz w:val="28"/>
                <w:szCs w:val="28"/>
              </w:rPr>
              <w:t xml:space="preserve">  </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2</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窑衔矿区煤系气勘探开发技术</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袁崇亮</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窑衔煤电集团有限公司</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3</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煤系综合资源与可采性</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琚宜文</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中国科学院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4</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智能化煤矿透明地质保障系统</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刘再斌</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中煤科工集团西安研究院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ascii="楷体_GB2312" w:eastAsia="楷体_GB2312" w:hint="eastAsia"/>
                <w:sz w:val="28"/>
                <w:szCs w:val="28"/>
              </w:rPr>
              <w:lastRenderedPageBreak/>
              <w:t>序号</w:t>
            </w:r>
          </w:p>
        </w:tc>
        <w:tc>
          <w:tcPr>
            <w:tcW w:w="3685" w:type="dxa"/>
            <w:shd w:val="clear" w:color="000000" w:fill="FFFFFF" w:themeFill="background1"/>
            <w:vAlign w:val="center"/>
          </w:tcPr>
          <w:p w:rsidR="00202033" w:rsidRDefault="00A523F9">
            <w:pPr>
              <w:widowControl/>
              <w:adjustRightInd w:val="0"/>
              <w:snapToGrid w:val="0"/>
              <w:jc w:val="left"/>
              <w:rPr>
                <w:rFonts w:eastAsia="楷体_GB2312"/>
                <w:sz w:val="28"/>
                <w:szCs w:val="28"/>
              </w:rPr>
            </w:pPr>
            <w:r>
              <w:rPr>
                <w:rFonts w:ascii="楷体_GB2312" w:eastAsia="楷体_GB2312" w:hint="eastAsia"/>
                <w:sz w:val="28"/>
                <w:szCs w:val="28"/>
              </w:rPr>
              <w:t>题目</w:t>
            </w:r>
          </w:p>
        </w:tc>
        <w:tc>
          <w:tcPr>
            <w:tcW w:w="1843" w:type="dxa"/>
            <w:shd w:val="clear" w:color="000000" w:fill="FFFFFF" w:themeFill="background1"/>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报告人</w:t>
            </w:r>
          </w:p>
        </w:tc>
        <w:tc>
          <w:tcPr>
            <w:tcW w:w="1134" w:type="dxa"/>
            <w:shd w:val="clear" w:color="000000" w:fill="FFFFFF" w:themeFill="background1"/>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职称</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ascii="楷体_GB2312" w:eastAsia="楷体_GB2312" w:hint="eastAsia"/>
                <w:sz w:val="28"/>
                <w:szCs w:val="28"/>
              </w:rPr>
              <w:t>单位</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5</w:t>
            </w:r>
          </w:p>
        </w:tc>
        <w:tc>
          <w:tcPr>
            <w:tcW w:w="3685" w:type="dxa"/>
            <w:shd w:val="clear" w:color="000000" w:fill="FFFFFF" w:themeFill="background1"/>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废弃矿井水资源分析评价和利用</w:t>
            </w:r>
          </w:p>
        </w:tc>
        <w:tc>
          <w:tcPr>
            <w:tcW w:w="1843" w:type="dxa"/>
            <w:shd w:val="clear" w:color="000000" w:fill="FFFFFF" w:themeFill="background1"/>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窦文武</w:t>
            </w:r>
          </w:p>
        </w:tc>
        <w:tc>
          <w:tcPr>
            <w:tcW w:w="1134" w:type="dxa"/>
            <w:shd w:val="clear" w:color="000000" w:fill="FFFFFF" w:themeFill="background1"/>
            <w:vAlign w:val="center"/>
          </w:tcPr>
          <w:p w:rsidR="00202033" w:rsidRDefault="00A523F9">
            <w:pPr>
              <w:adjustRightInd w:val="0"/>
              <w:snapToGrid w:val="0"/>
              <w:jc w:val="center"/>
              <w:rPr>
                <w:rFonts w:eastAsia="楷体_GB2312"/>
                <w:sz w:val="28"/>
                <w:szCs w:val="28"/>
              </w:rPr>
            </w:pPr>
            <w:r>
              <w:rPr>
                <w:rFonts w:eastAsia="楷体_GB2312"/>
                <w:sz w:val="28"/>
                <w:szCs w:val="28"/>
              </w:rPr>
              <w:t>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晋能控股集团</w:t>
            </w:r>
            <w:r>
              <w:rPr>
                <w:rFonts w:eastAsia="楷体_GB2312"/>
                <w:sz w:val="28"/>
                <w:szCs w:val="28"/>
              </w:rPr>
              <w:t xml:space="preserve"> </w:t>
            </w:r>
          </w:p>
        </w:tc>
      </w:tr>
      <w:tr w:rsidR="00202033">
        <w:trPr>
          <w:trHeight w:val="580"/>
        </w:trPr>
        <w:tc>
          <w:tcPr>
            <w:tcW w:w="568" w:type="dxa"/>
            <w:vAlign w:val="center"/>
          </w:tcPr>
          <w:p w:rsidR="00202033" w:rsidRDefault="00A523F9">
            <w:pPr>
              <w:widowControl/>
              <w:adjustRightInd w:val="0"/>
              <w:snapToGrid w:val="0"/>
              <w:jc w:val="center"/>
              <w:rPr>
                <w:rFonts w:eastAsia="楷体_GB2312"/>
                <w:color w:val="FF0000"/>
                <w:sz w:val="28"/>
                <w:szCs w:val="28"/>
              </w:rPr>
            </w:pPr>
            <w:r>
              <w:rPr>
                <w:rFonts w:eastAsia="楷体_GB2312" w:hint="eastAsia"/>
                <w:sz w:val="28"/>
                <w:szCs w:val="28"/>
              </w:rPr>
              <w:t>6</w:t>
            </w:r>
          </w:p>
        </w:tc>
        <w:tc>
          <w:tcPr>
            <w:tcW w:w="3685" w:type="dxa"/>
            <w:shd w:val="clear" w:color="000000" w:fill="FFFFFF" w:themeFill="background1"/>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煤系共伴生稀有元素资源</w:t>
            </w:r>
            <w:r>
              <w:rPr>
                <w:rFonts w:eastAsia="楷体_GB2312"/>
                <w:sz w:val="28"/>
                <w:szCs w:val="28"/>
              </w:rPr>
              <w:t>——</w:t>
            </w:r>
            <w:r>
              <w:rPr>
                <w:rFonts w:eastAsia="楷体_GB2312" w:hint="eastAsia"/>
                <w:sz w:val="28"/>
                <w:szCs w:val="28"/>
              </w:rPr>
              <w:t>以煤中铀为例</w:t>
            </w:r>
          </w:p>
        </w:tc>
        <w:tc>
          <w:tcPr>
            <w:tcW w:w="1843" w:type="dxa"/>
            <w:shd w:val="clear" w:color="000000" w:fill="FFFFFF" w:themeFill="background1"/>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陈</w:t>
            </w:r>
            <w:r>
              <w:rPr>
                <w:rFonts w:eastAsia="楷体_GB2312" w:hint="eastAsia"/>
                <w:sz w:val="28"/>
                <w:szCs w:val="28"/>
              </w:rPr>
              <w:t xml:space="preserve"> </w:t>
            </w:r>
            <w:r>
              <w:rPr>
                <w:rFonts w:eastAsia="楷体_GB2312"/>
                <w:sz w:val="28"/>
                <w:szCs w:val="28"/>
              </w:rPr>
              <w:t xml:space="preserve"> </w:t>
            </w:r>
            <w:r>
              <w:rPr>
                <w:rFonts w:eastAsia="楷体_GB2312" w:hint="eastAsia"/>
                <w:sz w:val="28"/>
                <w:szCs w:val="28"/>
              </w:rPr>
              <w:t>健</w:t>
            </w:r>
          </w:p>
        </w:tc>
        <w:tc>
          <w:tcPr>
            <w:tcW w:w="1134" w:type="dxa"/>
            <w:shd w:val="clear" w:color="000000" w:fill="FFFFFF" w:themeFill="background1"/>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副教授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安徽理工大学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7</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井下钻孔测井技术在智能矿山地质保障领域的适用性探讨</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李文生</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教授级高工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山西焦煤能源集团股份有限公司</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8</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煤矿井下智能化钻探技术现状与发展趋势</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李泉新</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中煤科工集团西安研究院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9</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新疆煤层气勘查开发进展</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韦</w:t>
            </w:r>
            <w:r>
              <w:rPr>
                <w:rFonts w:eastAsia="楷体_GB2312" w:hint="eastAsia"/>
                <w:sz w:val="28"/>
                <w:szCs w:val="28"/>
              </w:rPr>
              <w:t xml:space="preserve"> </w:t>
            </w:r>
            <w:r>
              <w:rPr>
                <w:rFonts w:eastAsia="楷体_GB2312"/>
                <w:sz w:val="28"/>
                <w:szCs w:val="28"/>
              </w:rPr>
              <w:t xml:space="preserve"> </w:t>
            </w:r>
            <w:r>
              <w:rPr>
                <w:rFonts w:eastAsia="楷体_GB2312" w:hint="eastAsia"/>
                <w:sz w:val="28"/>
                <w:szCs w:val="28"/>
              </w:rPr>
              <w:t>波</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新疆煤田地质局</w:t>
            </w:r>
            <w:r>
              <w:rPr>
                <w:rFonts w:eastAsia="楷体_GB2312"/>
                <w:sz w:val="28"/>
                <w:szCs w:val="28"/>
              </w:rPr>
              <w:t>156</w:t>
            </w:r>
            <w:r>
              <w:rPr>
                <w:rFonts w:eastAsia="楷体_GB2312" w:hint="eastAsia"/>
                <w:sz w:val="28"/>
                <w:szCs w:val="28"/>
              </w:rPr>
              <w:t>队</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0</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井下顶板强矿压灾害长钻孔分段压裂超前弱化防治技术与应用</w:t>
            </w:r>
            <w:r>
              <w:rPr>
                <w:rFonts w:eastAsia="楷体_GB2312"/>
                <w:sz w:val="28"/>
                <w:szCs w:val="28"/>
              </w:rPr>
              <w:t xml:space="preserve"> </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郑凯歌</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副研究员</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中煤科工集团西安研究院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1</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深部地应力测量技术研发及在煤层气开采中的应用前景探讨</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孙东生</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高级工程师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中国地质科学院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2</w:t>
            </w:r>
          </w:p>
        </w:tc>
        <w:tc>
          <w:tcPr>
            <w:tcW w:w="3685" w:type="dxa"/>
            <w:shd w:val="clear" w:color="auto" w:fill="auto"/>
            <w:vAlign w:val="center"/>
          </w:tcPr>
          <w:p w:rsidR="00202033" w:rsidRDefault="00A523F9">
            <w:pPr>
              <w:snapToGrid w:val="0"/>
              <w:rPr>
                <w:rFonts w:eastAsia="楷体_GB2312"/>
                <w:sz w:val="28"/>
                <w:szCs w:val="28"/>
              </w:rPr>
            </w:pPr>
            <w:r>
              <w:rPr>
                <w:rFonts w:eastAsia="楷体_GB2312" w:hint="eastAsia"/>
                <w:sz w:val="28"/>
                <w:szCs w:val="28"/>
              </w:rPr>
              <w:t>以孔代巷区域瓦斯治理技术及工程实践</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陶云奇</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河南工程学院</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3</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粘弹煤层介质槽波发育情况探讨</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姬广忠</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副教授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安徽理工大学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4</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hint="eastAsia"/>
                <w:sz w:val="28"/>
                <w:szCs w:val="28"/>
              </w:rPr>
              <w:t>新疆煤炭与煤层气资源分布及开发现状</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赵</w:t>
            </w:r>
            <w:r>
              <w:rPr>
                <w:rFonts w:eastAsia="楷体_GB2312" w:hint="eastAsia"/>
                <w:sz w:val="28"/>
                <w:szCs w:val="28"/>
              </w:rPr>
              <w:t xml:space="preserve"> </w:t>
            </w:r>
            <w:r>
              <w:rPr>
                <w:rFonts w:eastAsia="楷体_GB2312"/>
                <w:sz w:val="28"/>
                <w:szCs w:val="28"/>
              </w:rPr>
              <w:t xml:space="preserve"> </w:t>
            </w:r>
            <w:r>
              <w:rPr>
                <w:rFonts w:eastAsia="楷体_GB2312" w:hint="eastAsia"/>
                <w:sz w:val="28"/>
                <w:szCs w:val="28"/>
              </w:rPr>
              <w:t>力</w:t>
            </w:r>
            <w:r>
              <w:rPr>
                <w:rFonts w:eastAsia="楷体_GB2312"/>
                <w:sz w:val="28"/>
                <w:szCs w:val="28"/>
              </w:rPr>
              <w:t xml:space="preserve"> </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新疆煤田地质局</w:t>
            </w:r>
            <w:r>
              <w:rPr>
                <w:rFonts w:eastAsia="楷体_GB2312"/>
                <w:sz w:val="28"/>
                <w:szCs w:val="28"/>
              </w:rPr>
              <w:t xml:space="preserve">　</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5</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鄂尔多斯盆地富油煤赋存及微观物质结构表征</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师庆民</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副教授</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西安科技大学</w:t>
            </w:r>
          </w:p>
        </w:tc>
      </w:tr>
      <w:tr w:rsidR="00202033">
        <w:trPr>
          <w:trHeight w:val="580"/>
        </w:trPr>
        <w:tc>
          <w:tcPr>
            <w:tcW w:w="568" w:type="dxa"/>
            <w:vAlign w:val="center"/>
          </w:tcPr>
          <w:p w:rsidR="00202033" w:rsidRDefault="00A523F9">
            <w:pPr>
              <w:widowControl/>
              <w:adjustRightInd w:val="0"/>
              <w:snapToGrid w:val="0"/>
              <w:jc w:val="center"/>
              <w:rPr>
                <w:rFonts w:eastAsia="楷体_GB2312"/>
                <w:sz w:val="28"/>
                <w:szCs w:val="28"/>
              </w:rPr>
            </w:pPr>
            <w:r>
              <w:rPr>
                <w:rFonts w:eastAsia="楷体_GB2312" w:hint="eastAsia"/>
                <w:sz w:val="28"/>
                <w:szCs w:val="28"/>
              </w:rPr>
              <w:t>1</w:t>
            </w:r>
            <w:r>
              <w:rPr>
                <w:rFonts w:eastAsia="楷体_GB2312"/>
                <w:sz w:val="28"/>
                <w:szCs w:val="28"/>
              </w:rPr>
              <w:t>6</w:t>
            </w:r>
          </w:p>
        </w:tc>
        <w:tc>
          <w:tcPr>
            <w:tcW w:w="3685" w:type="dxa"/>
            <w:shd w:val="clear" w:color="auto" w:fill="auto"/>
            <w:vAlign w:val="center"/>
          </w:tcPr>
          <w:p w:rsidR="00202033" w:rsidRDefault="00A523F9">
            <w:pPr>
              <w:widowControl/>
              <w:adjustRightInd w:val="0"/>
              <w:snapToGrid w:val="0"/>
              <w:jc w:val="left"/>
              <w:rPr>
                <w:rFonts w:eastAsia="楷体_GB2312"/>
                <w:sz w:val="28"/>
                <w:szCs w:val="28"/>
              </w:rPr>
            </w:pPr>
            <w:r>
              <w:rPr>
                <w:rFonts w:eastAsia="楷体_GB2312"/>
                <w:sz w:val="28"/>
                <w:szCs w:val="28"/>
              </w:rPr>
              <w:t>超声波对煤层气井激励作用的实验研究</w:t>
            </w:r>
          </w:p>
        </w:tc>
        <w:tc>
          <w:tcPr>
            <w:tcW w:w="1843"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娄</w:t>
            </w:r>
            <w:r>
              <w:rPr>
                <w:rFonts w:eastAsia="楷体_GB2312" w:hint="eastAsia"/>
                <w:sz w:val="28"/>
                <w:szCs w:val="28"/>
              </w:rPr>
              <w:t xml:space="preserve"> </w:t>
            </w:r>
            <w:r>
              <w:rPr>
                <w:rFonts w:eastAsia="楷体_GB2312"/>
                <w:sz w:val="28"/>
                <w:szCs w:val="28"/>
              </w:rPr>
              <w:t xml:space="preserve"> </w:t>
            </w:r>
            <w:r>
              <w:rPr>
                <w:rFonts w:eastAsia="楷体_GB2312" w:hint="eastAsia"/>
                <w:sz w:val="28"/>
                <w:szCs w:val="28"/>
              </w:rPr>
              <w:t>毅</w:t>
            </w:r>
          </w:p>
        </w:tc>
        <w:tc>
          <w:tcPr>
            <w:tcW w:w="1134"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sz w:val="28"/>
                <w:szCs w:val="28"/>
              </w:rPr>
              <w:t>高工</w:t>
            </w:r>
          </w:p>
        </w:tc>
        <w:tc>
          <w:tcPr>
            <w:tcW w:w="2126" w:type="dxa"/>
            <w:shd w:val="clear" w:color="auto" w:fill="auto"/>
            <w:vAlign w:val="center"/>
          </w:tcPr>
          <w:p w:rsidR="00202033" w:rsidRDefault="00A523F9">
            <w:pPr>
              <w:adjustRightInd w:val="0"/>
              <w:snapToGrid w:val="0"/>
              <w:jc w:val="center"/>
              <w:rPr>
                <w:rFonts w:eastAsia="楷体_GB2312"/>
                <w:sz w:val="28"/>
                <w:szCs w:val="28"/>
              </w:rPr>
            </w:pPr>
            <w:r>
              <w:rPr>
                <w:rFonts w:eastAsia="楷体_GB2312" w:hint="eastAsia"/>
                <w:sz w:val="28"/>
                <w:szCs w:val="28"/>
              </w:rPr>
              <w:t>贵州盘江煤层气开发利用有限责任公司</w:t>
            </w:r>
          </w:p>
        </w:tc>
      </w:tr>
    </w:tbl>
    <w:p w:rsidR="00202033" w:rsidRPr="00777098" w:rsidRDefault="00202033">
      <w:pPr>
        <w:spacing w:line="720" w:lineRule="auto"/>
        <w:rPr>
          <w:rFonts w:ascii="黑体" w:eastAsia="黑体" w:hAnsi="黑体" w:cs="黑体"/>
        </w:rPr>
      </w:pPr>
      <w:bookmarkStart w:id="0" w:name="_GoBack"/>
      <w:bookmarkEnd w:id="0"/>
    </w:p>
    <w:sectPr w:rsidR="00202033" w:rsidRPr="00777098">
      <w:pgSz w:w="11906" w:h="16838"/>
      <w:pgMar w:top="1440" w:right="1474" w:bottom="1440" w:left="1588" w:header="851" w:footer="992" w:gutter="0"/>
      <w:cols w:space="0"/>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FF"/>
    <w:rsid w:val="000048FB"/>
    <w:rsid w:val="00004995"/>
    <w:rsid w:val="00004F42"/>
    <w:rsid w:val="000065E2"/>
    <w:rsid w:val="00011D66"/>
    <w:rsid w:val="00016FCA"/>
    <w:rsid w:val="000225B2"/>
    <w:rsid w:val="000231C2"/>
    <w:rsid w:val="00075B4F"/>
    <w:rsid w:val="000817AD"/>
    <w:rsid w:val="000823DC"/>
    <w:rsid w:val="00085D71"/>
    <w:rsid w:val="00086C5A"/>
    <w:rsid w:val="00097368"/>
    <w:rsid w:val="000A1A12"/>
    <w:rsid w:val="000D314F"/>
    <w:rsid w:val="000E1BBC"/>
    <w:rsid w:val="000E7E73"/>
    <w:rsid w:val="000F1047"/>
    <w:rsid w:val="0010243D"/>
    <w:rsid w:val="0011317D"/>
    <w:rsid w:val="00133DEE"/>
    <w:rsid w:val="00176517"/>
    <w:rsid w:val="001C1562"/>
    <w:rsid w:val="001C6A83"/>
    <w:rsid w:val="001E4D9D"/>
    <w:rsid w:val="001F5F59"/>
    <w:rsid w:val="001F6DC8"/>
    <w:rsid w:val="00202033"/>
    <w:rsid w:val="00205BB4"/>
    <w:rsid w:val="00213790"/>
    <w:rsid w:val="00215777"/>
    <w:rsid w:val="00223FFC"/>
    <w:rsid w:val="002271E6"/>
    <w:rsid w:val="00244FE6"/>
    <w:rsid w:val="00255FD0"/>
    <w:rsid w:val="00266818"/>
    <w:rsid w:val="00276D0D"/>
    <w:rsid w:val="00282345"/>
    <w:rsid w:val="00286BAF"/>
    <w:rsid w:val="0029476F"/>
    <w:rsid w:val="002A0D6A"/>
    <w:rsid w:val="002C1758"/>
    <w:rsid w:val="002C559C"/>
    <w:rsid w:val="002D10F3"/>
    <w:rsid w:val="002D533E"/>
    <w:rsid w:val="002E2E8C"/>
    <w:rsid w:val="002E4F7C"/>
    <w:rsid w:val="002E7BE9"/>
    <w:rsid w:val="002F0777"/>
    <w:rsid w:val="002F2CFE"/>
    <w:rsid w:val="00302EFB"/>
    <w:rsid w:val="00310086"/>
    <w:rsid w:val="00311F26"/>
    <w:rsid w:val="003673E0"/>
    <w:rsid w:val="00372AD1"/>
    <w:rsid w:val="003A50AB"/>
    <w:rsid w:val="003D0C6B"/>
    <w:rsid w:val="003D5BA5"/>
    <w:rsid w:val="003F1464"/>
    <w:rsid w:val="003F2F3A"/>
    <w:rsid w:val="00401072"/>
    <w:rsid w:val="004060D5"/>
    <w:rsid w:val="00406584"/>
    <w:rsid w:val="004224F1"/>
    <w:rsid w:val="0046393A"/>
    <w:rsid w:val="0048023E"/>
    <w:rsid w:val="004830DC"/>
    <w:rsid w:val="00486FDA"/>
    <w:rsid w:val="0049185A"/>
    <w:rsid w:val="004A57EC"/>
    <w:rsid w:val="004B4AE0"/>
    <w:rsid w:val="004C3390"/>
    <w:rsid w:val="004D3A98"/>
    <w:rsid w:val="004E25D2"/>
    <w:rsid w:val="004E6D49"/>
    <w:rsid w:val="004E7037"/>
    <w:rsid w:val="004F2D33"/>
    <w:rsid w:val="004F564C"/>
    <w:rsid w:val="004F56F1"/>
    <w:rsid w:val="005122D2"/>
    <w:rsid w:val="00512B98"/>
    <w:rsid w:val="00515B23"/>
    <w:rsid w:val="00520F92"/>
    <w:rsid w:val="00531630"/>
    <w:rsid w:val="00536006"/>
    <w:rsid w:val="00543165"/>
    <w:rsid w:val="00545253"/>
    <w:rsid w:val="00585BF2"/>
    <w:rsid w:val="00593028"/>
    <w:rsid w:val="00593EC1"/>
    <w:rsid w:val="005B4D8A"/>
    <w:rsid w:val="005C3CDD"/>
    <w:rsid w:val="005C40D4"/>
    <w:rsid w:val="005D08F7"/>
    <w:rsid w:val="005D2DFF"/>
    <w:rsid w:val="005D3CB2"/>
    <w:rsid w:val="005E7295"/>
    <w:rsid w:val="005F5D16"/>
    <w:rsid w:val="005F7132"/>
    <w:rsid w:val="005F7E34"/>
    <w:rsid w:val="00641363"/>
    <w:rsid w:val="00661E61"/>
    <w:rsid w:val="006750AB"/>
    <w:rsid w:val="00677EF5"/>
    <w:rsid w:val="00687DA5"/>
    <w:rsid w:val="006949F8"/>
    <w:rsid w:val="00695201"/>
    <w:rsid w:val="00696912"/>
    <w:rsid w:val="006D7113"/>
    <w:rsid w:val="006F422E"/>
    <w:rsid w:val="006F633D"/>
    <w:rsid w:val="006F6BC5"/>
    <w:rsid w:val="00706814"/>
    <w:rsid w:val="00712810"/>
    <w:rsid w:val="007140FD"/>
    <w:rsid w:val="00755917"/>
    <w:rsid w:val="00756295"/>
    <w:rsid w:val="00766005"/>
    <w:rsid w:val="00766332"/>
    <w:rsid w:val="00771338"/>
    <w:rsid w:val="0077223D"/>
    <w:rsid w:val="00775640"/>
    <w:rsid w:val="00777098"/>
    <w:rsid w:val="00786262"/>
    <w:rsid w:val="007A00B5"/>
    <w:rsid w:val="007A2A69"/>
    <w:rsid w:val="007A5CEB"/>
    <w:rsid w:val="007B5C12"/>
    <w:rsid w:val="007C0AFF"/>
    <w:rsid w:val="007D2B9E"/>
    <w:rsid w:val="007E57E4"/>
    <w:rsid w:val="007F0CB2"/>
    <w:rsid w:val="007F3D0D"/>
    <w:rsid w:val="007F7477"/>
    <w:rsid w:val="00802300"/>
    <w:rsid w:val="00810FEB"/>
    <w:rsid w:val="008153D5"/>
    <w:rsid w:val="0083448F"/>
    <w:rsid w:val="00835CDF"/>
    <w:rsid w:val="00836C13"/>
    <w:rsid w:val="00851D3C"/>
    <w:rsid w:val="00853973"/>
    <w:rsid w:val="008547BD"/>
    <w:rsid w:val="008611C7"/>
    <w:rsid w:val="008624E8"/>
    <w:rsid w:val="0087291E"/>
    <w:rsid w:val="00872E44"/>
    <w:rsid w:val="008801CC"/>
    <w:rsid w:val="0088234E"/>
    <w:rsid w:val="00883BE9"/>
    <w:rsid w:val="0088619A"/>
    <w:rsid w:val="00887277"/>
    <w:rsid w:val="00887F24"/>
    <w:rsid w:val="008908FE"/>
    <w:rsid w:val="008A0AB8"/>
    <w:rsid w:val="008A211B"/>
    <w:rsid w:val="008B5817"/>
    <w:rsid w:val="008D44EF"/>
    <w:rsid w:val="009000C9"/>
    <w:rsid w:val="00913721"/>
    <w:rsid w:val="00916A7F"/>
    <w:rsid w:val="00931AF1"/>
    <w:rsid w:val="00936D62"/>
    <w:rsid w:val="009376DE"/>
    <w:rsid w:val="00950147"/>
    <w:rsid w:val="0095410C"/>
    <w:rsid w:val="00955FC1"/>
    <w:rsid w:val="00966683"/>
    <w:rsid w:val="00971AA2"/>
    <w:rsid w:val="00982F2B"/>
    <w:rsid w:val="00986415"/>
    <w:rsid w:val="009A77C5"/>
    <w:rsid w:val="009C1506"/>
    <w:rsid w:val="009C1C79"/>
    <w:rsid w:val="009C679E"/>
    <w:rsid w:val="009E408A"/>
    <w:rsid w:val="00A03DCA"/>
    <w:rsid w:val="00A11A56"/>
    <w:rsid w:val="00A13777"/>
    <w:rsid w:val="00A14D5D"/>
    <w:rsid w:val="00A20021"/>
    <w:rsid w:val="00A32793"/>
    <w:rsid w:val="00A45AE6"/>
    <w:rsid w:val="00A523F9"/>
    <w:rsid w:val="00A549BD"/>
    <w:rsid w:val="00A63BD9"/>
    <w:rsid w:val="00A70989"/>
    <w:rsid w:val="00A70FF9"/>
    <w:rsid w:val="00A71576"/>
    <w:rsid w:val="00A8306E"/>
    <w:rsid w:val="00A86C89"/>
    <w:rsid w:val="00A908A5"/>
    <w:rsid w:val="00A909A1"/>
    <w:rsid w:val="00A92631"/>
    <w:rsid w:val="00A96098"/>
    <w:rsid w:val="00AA152A"/>
    <w:rsid w:val="00AC082D"/>
    <w:rsid w:val="00AD71A4"/>
    <w:rsid w:val="00AE3107"/>
    <w:rsid w:val="00AF5C14"/>
    <w:rsid w:val="00B16066"/>
    <w:rsid w:val="00B1779C"/>
    <w:rsid w:val="00B2260E"/>
    <w:rsid w:val="00B3045B"/>
    <w:rsid w:val="00B31C37"/>
    <w:rsid w:val="00B45518"/>
    <w:rsid w:val="00B6279F"/>
    <w:rsid w:val="00BA1BA5"/>
    <w:rsid w:val="00BA7DC2"/>
    <w:rsid w:val="00BB19B4"/>
    <w:rsid w:val="00BB5B79"/>
    <w:rsid w:val="00BE09B7"/>
    <w:rsid w:val="00BE1092"/>
    <w:rsid w:val="00BE5C39"/>
    <w:rsid w:val="00BE5CAE"/>
    <w:rsid w:val="00BE71EB"/>
    <w:rsid w:val="00BE76E3"/>
    <w:rsid w:val="00C07915"/>
    <w:rsid w:val="00C119CB"/>
    <w:rsid w:val="00C24F95"/>
    <w:rsid w:val="00C27EF7"/>
    <w:rsid w:val="00C31BF1"/>
    <w:rsid w:val="00C5076C"/>
    <w:rsid w:val="00C5152B"/>
    <w:rsid w:val="00C55A6D"/>
    <w:rsid w:val="00C722C4"/>
    <w:rsid w:val="00C9315E"/>
    <w:rsid w:val="00CA3145"/>
    <w:rsid w:val="00CB0EB4"/>
    <w:rsid w:val="00CE2F14"/>
    <w:rsid w:val="00CF75E8"/>
    <w:rsid w:val="00D0136C"/>
    <w:rsid w:val="00D05221"/>
    <w:rsid w:val="00D06E54"/>
    <w:rsid w:val="00D06F81"/>
    <w:rsid w:val="00D06FA4"/>
    <w:rsid w:val="00D109E8"/>
    <w:rsid w:val="00D15CDC"/>
    <w:rsid w:val="00D201CA"/>
    <w:rsid w:val="00D3438C"/>
    <w:rsid w:val="00D37380"/>
    <w:rsid w:val="00D40D64"/>
    <w:rsid w:val="00D43C27"/>
    <w:rsid w:val="00D649ED"/>
    <w:rsid w:val="00D773C5"/>
    <w:rsid w:val="00DA1361"/>
    <w:rsid w:val="00DA58C6"/>
    <w:rsid w:val="00DC3D56"/>
    <w:rsid w:val="00DC65EC"/>
    <w:rsid w:val="00DD75C5"/>
    <w:rsid w:val="00DF376A"/>
    <w:rsid w:val="00E0059E"/>
    <w:rsid w:val="00E038D3"/>
    <w:rsid w:val="00E058ED"/>
    <w:rsid w:val="00E12FD7"/>
    <w:rsid w:val="00E21153"/>
    <w:rsid w:val="00E40373"/>
    <w:rsid w:val="00E56200"/>
    <w:rsid w:val="00E612B7"/>
    <w:rsid w:val="00E616B3"/>
    <w:rsid w:val="00E82DDB"/>
    <w:rsid w:val="00E841ED"/>
    <w:rsid w:val="00E85B1D"/>
    <w:rsid w:val="00E90B3E"/>
    <w:rsid w:val="00EA36AC"/>
    <w:rsid w:val="00EB0061"/>
    <w:rsid w:val="00EB73D3"/>
    <w:rsid w:val="00EB790F"/>
    <w:rsid w:val="00EC44C5"/>
    <w:rsid w:val="00ED2148"/>
    <w:rsid w:val="00ED3DB9"/>
    <w:rsid w:val="00EE4782"/>
    <w:rsid w:val="00EF4312"/>
    <w:rsid w:val="00EF4E82"/>
    <w:rsid w:val="00EF66ED"/>
    <w:rsid w:val="00EF7DDC"/>
    <w:rsid w:val="00F03606"/>
    <w:rsid w:val="00F17E3E"/>
    <w:rsid w:val="00F360D5"/>
    <w:rsid w:val="00F56342"/>
    <w:rsid w:val="00F574B3"/>
    <w:rsid w:val="00F7072B"/>
    <w:rsid w:val="00F72E42"/>
    <w:rsid w:val="00F74BAD"/>
    <w:rsid w:val="00F813D9"/>
    <w:rsid w:val="00F839A0"/>
    <w:rsid w:val="00F95925"/>
    <w:rsid w:val="00FB31D2"/>
    <w:rsid w:val="00FB6C77"/>
    <w:rsid w:val="00FC2460"/>
    <w:rsid w:val="00FD0081"/>
    <w:rsid w:val="00FD04B6"/>
    <w:rsid w:val="00FD5A6C"/>
    <w:rsid w:val="00FD6116"/>
    <w:rsid w:val="00FD746F"/>
    <w:rsid w:val="00FE7935"/>
    <w:rsid w:val="00FF042A"/>
    <w:rsid w:val="076E4463"/>
    <w:rsid w:val="3A643053"/>
    <w:rsid w:val="47E23E74"/>
    <w:rsid w:val="52664E5B"/>
    <w:rsid w:val="57F2662D"/>
    <w:rsid w:val="5A90242C"/>
    <w:rsid w:val="5F292AE6"/>
    <w:rsid w:val="6B032F83"/>
    <w:rsid w:val="6EAF3B61"/>
    <w:rsid w:val="7FC04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DCC3E-D59E-4A8F-AF8A-1884F8C7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rFonts w:cs="Times New Roman"/>
      <w:kern w:val="0"/>
      <w:sz w:val="24"/>
      <w:szCs w:val="24"/>
    </w:rPr>
  </w:style>
  <w:style w:type="table" w:styleId="a9">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rPr>
  </w:style>
  <w:style w:type="character" w:styleId="ab">
    <w:name w:val="Emphasis"/>
    <w:basedOn w:val="a0"/>
    <w:uiPriority w:val="20"/>
    <w:qFormat/>
    <w:rPr>
      <w:i/>
      <w:iCs/>
    </w:rPr>
  </w:style>
  <w:style w:type="character" w:styleId="ac">
    <w:name w:val="Hyperlink"/>
    <w:basedOn w:val="a0"/>
    <w:qFormat/>
    <w:rPr>
      <w:color w:val="0000FF"/>
      <w:u w:val="non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style>
  <w:style w:type="paragraph" w:styleId="ad">
    <w:name w:val="List Paragraph"/>
    <w:basedOn w:val="a"/>
    <w:uiPriority w:val="34"/>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1">
    <w:name w:val="批注框文本 Char"/>
    <w:basedOn w:val="a0"/>
    <w:link w:val="a5"/>
    <w:uiPriority w:val="99"/>
    <w:semiHidden/>
    <w:qFormat/>
    <w:rPr>
      <w:kern w:val="2"/>
      <w:sz w:val="18"/>
      <w:szCs w:val="18"/>
    </w:rPr>
  </w:style>
  <w:style w:type="character" w:customStyle="1" w:styleId="3Char">
    <w:name w:val="标题 3 Char"/>
    <w:basedOn w:val="a0"/>
    <w:link w:val="3"/>
    <w:uiPriority w:val="9"/>
    <w:qFormat/>
    <w:rPr>
      <w:rFonts w:ascii="宋体" w:eastAsia="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baidu.com/link?url=pQ4vqiCvIlE-qX3b2YKrzz63p-fom8ejuyvfK_JYm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7DD7D-7570-44A7-9C03-45C5B6DE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zhe</dc:creator>
  <cp:lastModifiedBy>系统管理员</cp:lastModifiedBy>
  <cp:revision>3</cp:revision>
  <cp:lastPrinted>2021-08-20T05:43:00Z</cp:lastPrinted>
  <dcterms:created xsi:type="dcterms:W3CDTF">2021-09-27T05:50:00Z</dcterms:created>
  <dcterms:modified xsi:type="dcterms:W3CDTF">2021-09-27T05:53:00Z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143BEC177E6447DD93859E3549D8A891</vt:lpwstr>
  </property>
</Properties>
</file>